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Евгений Зиничев: В труднодоступных населенных пунктах нужно развивать добровольческие пожарные дружины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Евгений Зиничев: В труднодоступных населенных пунктах нужно развивать добровольческие пожарные дружины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Национальном центре управления в кризисных ситуациях в начале марта под руководством главы МЧС Евгения Зиничева состоялось селекторное совещание, на котором обсудили готовность аэромобильной группировки МЧС России и сил РСЧС к действиям по ликвидации крупномасштабных чрезвычайных ситуаций и пожаров. </w:t>
            </w:r>
            <w:br/>
            <w:r>
              <w:rPr/>
              <w:t xml:space="preserve"> </w:t>
            </w:r>
            <w:br/>
            <w:r>
              <w:rPr/>
              <w:t xml:space="preserve"> Е. Зиничев, говоря о пожаре, случившемся в дагестанском селе Тисси-Ахитли, предложил развивать в таких труднодоступных регионах добровольные дружины и передавать туда пожарно-спасательную технику.</w:t>
            </w:r>
            <w:br/>
            <w:r>
              <w:rPr/>
              <w:t xml:space="preserve"> </w:t>
            </w:r>
            <w:br/>
            <w:r>
              <w:rPr/>
              <w:t xml:space="preserve"> «Нужно внимательно посмотреть по добровольным дружинам. В Дагестане пожар произошел в труднодоступной местности. Может, надо было работать с этими населенными пунктами по развитию добровольчества или предусмотреть передачу сил и техники», - отметил Министр. По его словам, добровольцы могут не дать разгореться крупным пожарам в отделенных селах до приезда спасателей.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МЧС России ведется подготовка сил и средств к паводкоопасному и пожароопасному периодам 2019 года.</w:t>
            </w:r>
            <w:br/>
            <w:r>
              <w:rPr/>
              <w:t xml:space="preserve"> </w:t>
            </w:r>
            <w:br/>
            <w:r>
              <w:rPr/>
              <w:t xml:space="preserve"> По данным предварительного прогноза в зону потенциального воздействия природных пожаров и паводков в 2019 году попадают свыше 7 тыс. населенных пунктов, около 2 тыс. объектов социальной сферы, 3 тыс. садоводческих товариществ.</w:t>
            </w:r>
            <w:br/>
            <w:r>
              <w:rPr/>
              <w:t xml:space="preserve"> </w:t>
            </w:r>
            <w:br/>
            <w:r>
              <w:rPr/>
              <w:t xml:space="preserve"> «Для предупреждения и ликвидации ЧС формируется группировка сил и средств РСЧС общей численностью более 1 млн человек, на вооружении которых будет находиться более 200 тыс. единиц различной техники», - подчеркнул Е. Зиничев.</w:t>
            </w:r>
            <w:br/>
            <w:r>
              <w:rPr/>
              <w:t xml:space="preserve"> </w:t>
            </w:r>
            <w:br/>
            <w:r>
              <w:rPr/>
              <w:t xml:space="preserve"> Кроме того, от МЧС России спланировано применение аэромобильной группировки, в том числе 65 специализированных пожарно-спасательных частей общей численностью до 6 тыс. человек, на вооружение которых состоит свыше 1,5 тыс. единиц техники, а также свыше 200 единиц беспилотных летательных аппаратов, робототехнических и плавсредств.</w:t>
            </w:r>
            <w:br/>
            <w:r>
              <w:rPr/>
              <w:t xml:space="preserve"> </w:t>
            </w:r>
            <w:br/>
            <w:r>
              <w:rPr/>
              <w:t xml:space="preserve"> От спасательных воинских формирований, поисково-спасательных формирований и отрядов ВГСЧ в состав группировки МЧС, включено более 3,5 тыс. человек и свыше 500 единиц техники, в том числе в состав первого эшелона включено более 2,5 тыс. человек и свыше 400 единиц техники. Оперативную переброску сил и средств будет осуществлять авиация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готовности к защите населенных пунктов от природных пожаров находятся силы и средства территориальных пожарно-спасательных гарнизонов в количестве свыше 500 тыс. человек, 70 тыс. единиц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В случае введения режима ЧС будет задействована резервная техника и личный состав. Для этих целей создан необходимый резерв горюче-смазочных материалов и огнетушащих веществ. Всего для ликвидации крупномасштабных ЧС в 2019 году от МЧС России может быть задействовано до 78 воздушных судов (21 самолет и 57 вертолетов). Подготовлено 118 летных экипажей на перевозку и десантирование, на тушение пожаров – 110 экипажей. Дежурные силы авиации МЧС России размещены в каждом федеральном округе.</w:t>
            </w:r>
            <w:br/>
            <w:r>
              <w:rPr/>
              <w:t xml:space="preserve"> </w:t>
            </w:r>
            <w:br/>
            <w:r>
              <w:rPr/>
              <w:t xml:space="preserve"> Завершая совещание, глава МЧС России поручил руководителям территориальных органов МЧС России привести в готовность силы и средства РСЧС для оперативного реагирования на возможные ЧС. «Мы должны своевременно предупреждать граждан о возможных опасностях и угрозах. В необходимых случаях незамедлительно оказывать им всестороннюю помощь и поддержку», - подытожил Е. Зиничев.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2025-04-04T13:31:12+07:00</dcterms:created>
  <dcterms:modified xsi:type="dcterms:W3CDTF">2025-04-04T13:31:12+07:00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