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01.04.2015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I.Организована работа по реагированию: на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техногенного пожара.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находится:</w:t>
            </w:r>
            <w:br/>
            <w:r>
              <w:rPr/>
              <w:t xml:space="preserve"> </w:t>
            </w:r>
            <w:br/>
            <w:r>
              <w:rPr/>
              <w:t xml:space="preserve"> - ликвидация последствий ЧС природного характера, связанная с наводнением, возникшая 29.05.2014 года в связи с паводком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- выплаты населению, пострадавшему от дождевого паводка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 </w:t>
            </w:r>
            <w:br/>
            <w:r>
              <w:rPr/>
              <w:t xml:space="preserve"> </w:t>
            </w:r>
            <w:br/>
            <w:r>
              <w:rPr/>
              <w:t xml:space="preserve"> -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IV. Паводковая обстановка: 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V. Природные пожары: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2025-04-05T19:03:51+07:00</dcterms:created>
  <dcterms:modified xsi:type="dcterms:W3CDTF">2025-04-05T19:03:51+07:00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