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15 апреля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15 апреля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Территориальная подсистема и муниципальные звенья Республики Алтай функционируют в режиме «Повышенная готовность».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r>
              <w:rPr/>
              <w:t xml:space="preserve">: стабильная.</w:t>
            </w:r>
            <w:br/>
            <w:r>
              <w:rPr/>
              <w:t xml:space="preserve"> На территории Республики Алтай подтопленных населенных пунктов нет.</w:t>
            </w:r>
            <w:br/>
            <w:r>
              <w:rPr/>
              <w:t xml:space="preserve"> Запланированные противопаводковые мероприятия на территории республики выполнены в полном объеме.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зарегистрирован 1 бытовой пожар не (АППГ - 1 пожар).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Лесные пожары:</w:t>
            </w:r>
            <w:r>
              <w:rPr/>
              <w:t xml:space="preserve"> На территории Республики действуют 5 локализованных очагов лесных пожаров на общей площади 30 Га. Для тушения лесных пожаров привлекалось 112 человека и 14 единиц техники, в том числе 2 воздушных судна авиалесоохраны. Общий налет составил 15 часов.</w:t>
            </w:r>
            <w:br/>
            <w:r>
              <w:rPr/>
              <w:t xml:space="preserve"> Согласно указания Министра природных ресурсов РА Терехова М.А., с 11 по 17 апреля на территории Майминского, Шебалинского, Онгудайского, Усть-Канского и Усть-Коксинского района запрещены контролируемые выжигания сухих горючих материалов.</w:t>
            </w:r>
            <w:br/>
            <w:r>
              <w:rPr/>
              <w:t xml:space="preserve"> На территории Шебалинского, Онгудайского, Майминского, Усть-Канского, Чемальского районов действует </w:t>
            </w:r>
            <w:r>
              <w:rPr>
                <w:b w:val="1"/>
                <w:bCs w:val="1"/>
              </w:rPr>
              <w:t xml:space="preserve">особый противопожарный режим.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не зарегистрировано.</w:t>
            </w:r>
            <w:br/>
            <w:r>
              <w:rPr/>
              <w:t xml:space="preserve"> На контроле 1 туристическая группа, в количестве 12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2025-04-04T09:16:12+07:00</dcterms:created>
  <dcterms:modified xsi:type="dcterms:W3CDTF">2025-04-04T09:16:12+07:00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