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17.07.20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16.07.2020 17:07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17.07.20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июля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 Пожароопасность: 1, 2 класс.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Ясно, без осадков, ветер северо-восточный 2-7 м/с, местами порывы до 12 м/с, температура воздуха ночью плюс 9…14 °С, по высокогорью плюс 3…8 °С, днем плюс 28…33 °С, по юго-востоку плюс 21…26 °С, в горах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Ясно, без осадков, ветер северо-восточный 2-7 м/с, температура воздуха ночью плюс 12…14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 в связи с нарушением правил пожарной безопасности в лесах, сжиганием мусора на дачных и приусадебных участках, а также прохождения сухих гроз.</w:t>
            </w:r>
            <w:br/>
            <w:r>
              <w:rPr/>
              <w:t xml:space="preserve"> </w:t>
            </w:r>
            <w:br/>
            <w:r>
              <w:rPr/>
              <w:t xml:space="preserve"> 4. Риск подтопления дождевыми паводками.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прошедших накануне дождей, прогнозируемых дождей и повышением в связи с этим уровня малых рек и озер республики, выхода грунтовых вод, схода дождевого потока с гор.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в период летних отпусков туристов. В том числе по причине неудовлетворительного состояния дорожного покрытия, камнепадов, тумана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46 туристических групп в количестве 495 человек, 66 несовершеннолетний (Усть-Коксинский, Усть-Канский, Онгудайский, Улаганский, Кош-Агачский, Турочакский районы). Сроки выхода с маршрута 17.07.2020 - 02.08.2020.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2025-04-05T15:32:05+07:00</dcterms:created>
  <dcterms:modified xsi:type="dcterms:W3CDTF">2025-04-05T15:32:05+07:00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